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both"/>
        <w:spacing w:after="0" w:afterAutospacing="0" w:line="240" w:lineRule="auto"/>
        <w:tabs>
          <w:tab w:val="left" w:pos="939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  <w:suppressLineNumbers w:val="0"/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целях оптимизации кассового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обслуживания исполнения бюджета Союзного государства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, а также </w:t>
      </w:r>
      <w:bookmarkStart w:id="0" w:name="_GoBack"/>
      <w:r/>
      <w:bookmarkEnd w:id="0"/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в рамках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проведения мероприятий по импортозамещению информационных систем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Федерального казначейства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в государственную интегрированную информационную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систему управления общественными финансами «Электронный бюджет»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с 1 марта 2025 года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операци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по исполнению бюджета Союзного государства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осуществляются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на уровне Межрегионального операционного управления Федерального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казначейства.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afterAutospacing="0" w:line="240" w:lineRule="auto"/>
        <w:tabs>
          <w:tab w:val="left" w:pos="939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afterAutospacing="0" w:line="240" w:lineRule="auto"/>
        <w:tabs>
          <w:tab w:val="left" w:pos="939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afterAutospacing="0" w:line="240" w:lineRule="auto"/>
        <w:tabs>
          <w:tab w:val="left" w:pos="939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расходов УФК по Тюменской области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afterAutospacing="0" w:line="240" w:lineRule="auto"/>
        <w:tabs>
          <w:tab w:val="left" w:pos="939" w:leader="none"/>
        </w:tabs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/>
    </w:p>
    <w:sectPr>
      <w:footnotePr/>
      <w:endnotePr/>
      <w:type w:val="nextPage"/>
      <w:pgSz w:w="11906" w:h="16838" w:orient="portrait"/>
      <w:pgMar w:top="1134" w:right="567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18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Ананина Евгения Викторовна</dc:creator>
  <cp:keywords/>
  <dc:description/>
  <cp:lastModifiedBy>Аноним</cp:lastModifiedBy>
  <cp:revision>4</cp:revision>
  <dcterms:created xsi:type="dcterms:W3CDTF">2026-06-25T06:18:00Z</dcterms:created>
  <dcterms:modified xsi:type="dcterms:W3CDTF">2026-06-25T06:50:10Z</dcterms:modified>
</cp:coreProperties>
</file>